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deuteronomy-23"/>
    <w:p>
      <w:pPr>
        <w:pStyle w:val="Heading1"/>
      </w:pPr>
      <w:r>
        <w:t xml:space="preserve">Homiletics Analysis: Deuteronomy 23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23 falls within the extended legal section of Moses’ second address (chapters 12–26), which applies the Ten Commandments to the life of Israel in the land. Chapter 23 addresses a cluster of regulations governing membership in the covenant assembly (vv. 1–8), camp purity during holy war (vv. 9–14), the treatment of escaped slaves (vv. 15–16), the prohibition of cultic prostitution (vv. 17–18), lending and interest practices (vv. 19–20), the seriousness of vows (vv. 21–23), and the right of gleaning from a neighbor’s field (vv. 24–25). The chapter does not advance a single sustained argument but clusters related regulations around a governing concern: the holiness of the LORD’s presence among His people and the social fabric of the covenant community that holiness requires.</w:t>
      </w:r>
    </w:p>
    <w:p>
      <w:pPr>
        <w:pStyle w:val="BodyText"/>
      </w:pPr>
      <w:r>
        <w:t xml:space="preserve">The assembly regulations (vv. 1–8) establish boundaries around who may</w:t>
      </w:r>
      <w:r>
        <w:t xml:space="preserve"> </w:t>
      </w:r>
      <w:r>
        <w:t xml:space="preserve">“enter the assembly of the LORD,”</w:t>
      </w:r>
      <w:r>
        <w:t xml:space="preserve"> </w:t>
      </w:r>
      <w:r>
        <w:t xml:space="preserve">excluding those with certain physical conditions and those whose national histories placed them in active enmity against Israel, while granting conditional inclusion to Edomites and Egyptians. The camp purity laws (vv. 9–14) grounded hygiene practices explicitly in theology:</w:t>
      </w:r>
      <w:r>
        <w:t xml:space="preserve"> </w:t>
      </w:r>
      <w:r>
        <w:t xml:space="preserve">“the LORD your God walks in the midst of your camp,”</w:t>
      </w:r>
      <w:r>
        <w:t xml:space="preserve"> </w:t>
      </w:r>
      <w:r>
        <w:t xml:space="preserve">and His presence demands that the camp be clean of anything</w:t>
      </w:r>
      <w:r>
        <w:t xml:space="preserve"> </w:t>
      </w:r>
      <w:r>
        <w:t xml:space="preserve">“indecent.”</w:t>
      </w:r>
      <w:r>
        <w:t xml:space="preserve"> </w:t>
      </w:r>
      <w:r>
        <w:t xml:space="preserve">The remaining regulations address exploitation (charging interest to brothers), broken trust (unfulfilled vows), sacred versus ordinary hunger (gleaning rights versus commercial theft), and the exploitation of the vulnerable (escaped slaves, cult prostitutes).</w:t>
      </w:r>
    </w:p>
    <w:p>
      <w:pPr>
        <w:pStyle w:val="BodyText"/>
      </w:pPr>
      <w:r>
        <w:rPr>
          <w:b/>
          <w:bCs/>
        </w:rPr>
        <w:t xml:space="preserve">This Text — Intent:</w:t>
      </w:r>
    </w:p>
    <w:p>
      <w:pPr>
        <w:pStyle w:val="BodyText"/>
      </w:pPr>
      <w:r>
        <w:t xml:space="preserve">God is seeking to form a community that matches its confession — a people who claim the LORD as their God and whose common life reflects the character of that God. The chapter does not merely legislate behavior; it presses upon Israel the question of whether their corporate life, down to its most mundane details (latrine placement, field gleaning, interest charges), is shaped by the reality of God’s presence and God’s character. The intent is not legal compliance but covenantal conformity: a people whose communal life looks like the LORD who lives among them.</w:t>
      </w:r>
    </w:p>
    <w:p>
      <w:r>
        <w:pict>
          <v:rect style="width:0;height:1.5pt" o:hralign="center" o:hrstd="t" o:hr="t"/>
        </w:pict>
      </w:r>
    </w:p>
    <w:p>
      <w:pPr>
        <w:pStyle w:val="FirstParagraph"/>
      </w:pPr>
      <w:r>
        <w:rPr>
          <w:b/>
          <w:bCs/>
        </w:rPr>
        <w:t xml:space="preserve">Subject Sentence:</w:t>
      </w:r>
      <w:r>
        <w:t xml:space="preserve"> </w:t>
      </w:r>
      <w:r>
        <w:t xml:space="preserve">The holy LORD dwelling among His people shapes every dimension of their common life.</w:t>
      </w:r>
    </w:p>
    <w:p>
      <w:r>
        <w:pict>
          <v:rect style="width:0;height:1.5pt" o:hralign="center" o:hrstd="t" o:hr="t"/>
        </w:pict>
      </w:r>
    </w:p>
    <w:p>
      <w:pPr>
        <w:pStyle w:val="FirstParagraph"/>
      </w:pPr>
      <w:r>
        <w:rPr>
          <w:b/>
          <w:bCs/>
        </w:rPr>
        <w:t xml:space="preserve">Primary Claim:</w:t>
      </w:r>
      <w:r>
        <w:t xml:space="preserve"> </w:t>
      </w:r>
      <w:r>
        <w:t xml:space="preserve">Because the LORD is present in the midst of His people, the entire fabric of communal life — who belongs, how the camp is ordered, how the vulnerable are treated, how trust is kept — must be conformed to His holiness and His character; covenant membership is never merely formal but always moral and communal to its core.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Assembly Regulations (vv. 1–8) — Exclusion, Inclusion, and the Nature of the Assembly:</w:t>
      </w:r>
    </w:p>
    <w:p>
      <w:pPr>
        <w:pStyle w:val="BodyText"/>
      </w:pPr>
      <w:r>
        <w:t xml:space="preserve">The most persistently debated portion of this chapter is the exclusion list in verses 1–8. Several interpretive questions converge here. First, does the exclusion of the man with crushed or cut genitals (v. 1) and the person of illegitimate birth (v. 2) reflect a permanent ontological barrier, or is it a ceremonial/cultic boundary that the New Covenant removes? Dispensational interpreters often read these as strictly Israel-specific regulations tied to the theocratic state, with no direct application beyond Israel’s national identity. The Reformed reading is more nuanced: these regulations reflected the holiness of the covenant assembly in its typological form. The physical wholeness requirements for priests (Leviticus 21:17–23) parallel the assembly exclusions here — both point forward to the perfect wholeness of the eschatological community. Isaiah 56:3–8 is directly on point: the prophet explicitly anticipates the inclusion of eunuchs and foreigners in the LORD’s house in the new covenant age, on the basis of covenant-keeping rather than ethnic or physical status. This is not a contradiction of Deuteronomy 23 but its eschatological resolution. Acts 8 (the Ethiopian eunuch’s baptism) is the New Testament fulfillment. The Reformed reading acknowledges the typological function of the exclusions — they maintained the ceremonial integrity of the theocratic assembly — while recognizing their abrogation in Christ, who gathers a community of perfect wholeness and universal inclusion for those who are in Him.</w:t>
      </w:r>
    </w:p>
    <w:p>
      <w:pPr>
        <w:pStyle w:val="BodyText"/>
      </w:pPr>
      <w:r>
        <w:rPr>
          <w:b/>
          <w:bCs/>
        </w:rPr>
        <w:t xml:space="preserve">The Moabite and Ammonite Exclusion (vv. 3–6) versus Ruth:</w:t>
      </w:r>
    </w:p>
    <w:p>
      <w:pPr>
        <w:pStyle w:val="BodyText"/>
      </w:pPr>
      <w:r>
        <w:t xml:space="preserve">A common objection notes that Ruth the Moabitess was accepted into Israel, apparently in tension with verse 3’s permanent exclusion of Moabites. Several responses converge: (1) The exclusion likely applied primarily to male Moabites in the full cultic-covenantal sense, given the gendered framing of the passage; (2) Ruth’s inclusion is not presented as a violation of Deuteronomy 23 but as covenant membership through loyalty (</w:t>
      </w:r>
      <w:r>
        <w:rPr>
          <w:i/>
          <w:iCs/>
        </w:rPr>
        <w:t xml:space="preserve">hesed</w:t>
      </w:r>
      <w:r>
        <w:t xml:space="preserve">) and explicit identification with Israel’s God and people — she is incorporated through faith-allegiance, not ethnic reclassification; (3) More broadly, Ruth functions as a canonical demonstration that Deuteronomy’s exclusions were never about ethnic hatred but about protecting the covenant people from the specific syncretistic threats Moab and Ammon represented. The refusal to extend hospitality (v. 4) was the offense that generated the exclusion — a communal-historical judgment, not a racial one. The Edomite and Egyptian cases (vv. 7–8) confirm this: historical relationships, not ethnicity per se, determined the terms of inclusion.</w:t>
      </w:r>
    </w:p>
    <w:p>
      <w:pPr>
        <w:pStyle w:val="BodyText"/>
      </w:pPr>
      <w:r>
        <w:rPr>
          <w:b/>
          <w:bCs/>
        </w:rPr>
        <w:t xml:space="preserve">Camp Purity Laws (vv. 9–14) — Literal Hygiene or Theological Principle?</w:t>
      </w:r>
    </w:p>
    <w:p>
      <w:pPr>
        <w:pStyle w:val="BodyText"/>
      </w:pPr>
      <w:r>
        <w:t xml:space="preserve">Some commentators reduce verses 9–14 to practical sanitation advice with a theological veneer. This underdetermines the text. The explicit theological rationale —</w:t>
      </w:r>
      <w:r>
        <w:t xml:space="preserve"> </w:t>
      </w:r>
      <w:r>
        <w:t xml:space="preserve">“the LORD your God walks in the midst of your camp”</w:t>
      </w:r>
      <w:r>
        <w:t xml:space="preserve"> </w:t>
      </w:r>
      <w:r>
        <w:t xml:space="preserve">(v. 14) — places sanitation within a framework of holiness, not merely public health. The camp, as the dwelling place of the LORD of hosts, must be ordered around His presence. This does not mean the sanitation is unimportant — it is important precisely because the LORD is present. The Reformed reading holds both: the regulations serve real communal function and are simultaneously grounded in theological reality. The lesson for the church is not</w:t>
      </w:r>
      <w:r>
        <w:t xml:space="preserve"> </w:t>
      </w:r>
      <w:r>
        <w:t xml:space="preserve">“have clean bathrooms”</w:t>
      </w:r>
      <w:r>
        <w:t xml:space="preserve"> </w:t>
      </w:r>
      <w:r>
        <w:t xml:space="preserve">but</w:t>
      </w:r>
      <w:r>
        <w:t xml:space="preserve"> </w:t>
      </w:r>
      <w:r>
        <w:t xml:space="preserve">“the community of the LORD must order its common life — including its most mundane arrangements — around the fact that God is present.”</w:t>
      </w:r>
    </w:p>
    <w:p>
      <w:pPr>
        <w:pStyle w:val="BodyText"/>
      </w:pPr>
      <w:r>
        <w:rPr>
          <w:b/>
          <w:bCs/>
        </w:rPr>
        <w:t xml:space="preserve">Cultic Prostitution (vv. 17–18):</w:t>
      </w:r>
    </w:p>
    <w:p>
      <w:pPr>
        <w:pStyle w:val="BodyText"/>
      </w:pPr>
      <w:r>
        <w:t xml:space="preserve">Some critical scholars dispute whether</w:t>
      </w:r>
      <w:r>
        <w:t xml:space="preserve"> </w:t>
      </w:r>
      <w:r>
        <w:rPr>
          <w:i/>
          <w:iCs/>
        </w:rPr>
        <w:t xml:space="preserve">qedeshah</w:t>
      </w:r>
      <w:r>
        <w:t xml:space="preserve"> </w:t>
      </w:r>
      <w:r>
        <w:t xml:space="preserve">(v. 17) refers to cultic prostitutes at all, arguing the term simply means</w:t>
      </w:r>
      <w:r>
        <w:t xml:space="preserve"> </w:t>
      </w:r>
      <w:r>
        <w:t xml:space="preserve">“consecrated woman”</w:t>
      </w:r>
      <w:r>
        <w:t xml:space="preserve"> </w:t>
      </w:r>
      <w:r>
        <w:t xml:space="preserve">without sexual connotation. The Reformed reading, following the majority of evangelical exegetes, maintains that the context — paired with the explicit condemnation of the</w:t>
      </w:r>
      <w:r>
        <w:t xml:space="preserve"> </w:t>
      </w:r>
      <w:r>
        <w:rPr>
          <w:i/>
          <w:iCs/>
        </w:rPr>
        <w:t xml:space="preserve">qadesh</w:t>
      </w:r>
      <w:r>
        <w:t xml:space="preserve"> </w:t>
      </w:r>
      <w:r>
        <w:t xml:space="preserve">(male cult prostitute), and set against the backdrop of Canaanite fertility religion — makes the sexual-cultic meaning most natural. The prohibition is not merely sexual ethics but the theological rejection of any system that blurs the line between Israel’s LORD and the fertility deities of Canaan.</w:t>
      </w:r>
    </w:p>
    <w:p>
      <w:pPr>
        <w:pStyle w:val="BodyText"/>
      </w:pPr>
      <w:r>
        <w:rPr>
          <w:b/>
          <w:bCs/>
        </w:rPr>
        <w:t xml:space="preserve">The Reformed Reading:</w:t>
      </w:r>
    </w:p>
    <w:p>
      <w:pPr>
        <w:pStyle w:val="BodyText"/>
      </w:pPr>
      <w:r>
        <w:t xml:space="preserve">The chapter as a whole is best read as applied theology of presence: a community living before a holy God must conform its life — its boundaries, its camp order, its economic ethics, its vows, its treatment of the vulnerable — to the character of that God. The regulations are not arbitrary but theologically generated. The abrogation of the ceremonial/civil regulations in the New Covenant does not eliminate the underlying principle; it transforms its application. The church, as the new covenant assembly, is still the community gathered around God’s presence — now the indwelling Spirit — and still called to a common life that reflects His holiness and care.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Isaiah 56:3–8</w:t>
      </w:r>
      <w:r>
        <w:t xml:space="preserve"> </w:t>
      </w:r>
      <w:r>
        <w:t xml:space="preserve">— The eschatological resolution of the assembly exclusions: eunuchs and foreigners who hold fast to the covenant will be brought to God’s holy mountain and given</w:t>
      </w:r>
      <w:r>
        <w:t xml:space="preserve"> </w:t>
      </w:r>
      <w:r>
        <w:t xml:space="preserve">“a name better than sons and daughters.”</w:t>
      </w:r>
      <w:r>
        <w:t xml:space="preserve"> </w:t>
      </w:r>
      <w:r>
        <w:t xml:space="preserve">The typological exclusions of Deuteronomy 23 are not permanent but anticipate a greater, wider, fully inclusive covenant community.</w:t>
      </w:r>
    </w:p>
    <w:p>
      <w:pPr>
        <w:numPr>
          <w:ilvl w:val="0"/>
          <w:numId w:val="1001"/>
        </w:numPr>
      </w:pPr>
      <w:r>
        <w:rPr>
          <w:b/>
          <w:bCs/>
        </w:rPr>
        <w:t xml:space="preserve">Acts 8:26–40</w:t>
      </w:r>
      <w:r>
        <w:t xml:space="preserve"> </w:t>
      </w:r>
      <w:r>
        <w:t xml:space="preserve">— Philip and the Ethiopian eunuch: the explicit New Testament fulfillment of Isaiah 56 and the reversal of Deuteronomy 23:1’s exclusion. The eunuch is baptized without qualification — in Christ, the barrier is gone.</w:t>
      </w:r>
    </w:p>
    <w:p>
      <w:pPr>
        <w:numPr>
          <w:ilvl w:val="0"/>
          <w:numId w:val="1001"/>
        </w:numPr>
      </w:pPr>
      <w:r>
        <w:rPr>
          <w:b/>
          <w:bCs/>
        </w:rPr>
        <w:t xml:space="preserve">Leviticus 26:11–12 / 2 Corinthians 6:16</w:t>
      </w:r>
      <w:r>
        <w:t xml:space="preserve"> </w:t>
      </w:r>
      <w:r>
        <w:t xml:space="preserve">—</w:t>
      </w:r>
      <w:r>
        <w:t xml:space="preserve"> </w:t>
      </w:r>
      <w:r>
        <w:t xml:space="preserve">“I will walk among you and be your God, and you shall be my people.”</w:t>
      </w:r>
      <w:r>
        <w:t xml:space="preserve"> </w:t>
      </w:r>
      <w:r>
        <w:t xml:space="preserve">The camp purity laws of Deuteronomy 23:9–14 rest on this covenant reality; Paul’s New Testament application shows the principle persists into the church age.</w:t>
      </w:r>
    </w:p>
    <w:p>
      <w:pPr>
        <w:numPr>
          <w:ilvl w:val="0"/>
          <w:numId w:val="1001"/>
        </w:numPr>
      </w:pPr>
      <w:r>
        <w:rPr>
          <w:b/>
          <w:bCs/>
        </w:rPr>
        <w:t xml:space="preserve">Psalm 15 / Psalm 24:3–6</w:t>
      </w:r>
      <w:r>
        <w:t xml:space="preserve"> </w:t>
      </w:r>
      <w:r>
        <w:t xml:space="preserve">—</w:t>
      </w:r>
      <w:r>
        <w:t xml:space="preserve"> </w:t>
      </w:r>
      <w:r>
        <w:t xml:space="preserve">“Who shall ascend the hill of the LORD? Who shall stand in His holy place?”</w:t>
      </w:r>
      <w:r>
        <w:t xml:space="preserve"> </w:t>
      </w:r>
      <w:r>
        <w:t xml:space="preserve">These psalms address the same question as Deuteronomy 23:1–8 — who may enter the assembly of the LORD — and ground the answer in moral integrity, pointing forward to Christ as the only one who perfectly qualifies and who qualifies His people.</w:t>
      </w:r>
    </w:p>
    <w:p>
      <w:pPr>
        <w:numPr>
          <w:ilvl w:val="0"/>
          <w:numId w:val="1001"/>
        </w:numPr>
      </w:pPr>
      <w:r>
        <w:rPr>
          <w:b/>
          <w:bCs/>
        </w:rPr>
        <w:t xml:space="preserve">Ruth 1:16–17; 4:13–17</w:t>
      </w:r>
      <w:r>
        <w:t xml:space="preserve"> </w:t>
      </w:r>
      <w:r>
        <w:t xml:space="preserve">— Ruth’s incorporation into Israel from Moab demonstrates that the assembly regulations were never racial exclusions but covenantal boundaries, and that faith-allegiance (</w:t>
      </w:r>
      <w:r>
        <w:rPr>
          <w:i/>
          <w:iCs/>
        </w:rPr>
        <w:t xml:space="preserve">hesed</w:t>
      </w:r>
      <w:r>
        <w:t xml:space="preserve">) has always been the operative principle of belonging.</w:t>
      </w:r>
    </w:p>
    <w:p>
      <w:r>
        <w:pict>
          <v:rect style="width:0;height:1.5pt" o:hralign="center" o:hrstd="t" o:hr="t"/>
        </w:pict>
      </w:r>
    </w:p>
    <w:p>
      <w:pPr>
        <w:pStyle w:val="FirstParagraph"/>
      </w:pPr>
      <w:r>
        <w:rPr>
          <w:b/>
          <w:bCs/>
        </w:rPr>
        <w:t xml:space="preserve">Aim:</w:t>
      </w:r>
      <w:r>
        <w:t xml:space="preserve"> </w:t>
      </w:r>
      <w:r>
        <w:t xml:space="preserve">To show that the LORD’s presence among His people is not a background theological fact but the operative force that shapes every dimension of communal life — from who belongs to how the vulnerable are treated — and to call the covenant community to order their common life around the reality of that presence.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Exclusion from the assembly: the man with crushed or cut genitals</w:t>
            </w:r>
          </w:p>
        </w:tc>
        <w:tc>
          <w:tcPr/>
          <w:p>
            <w:pPr>
              <w:pStyle w:val="Compact"/>
            </w:pPr>
            <w:r>
              <w:t xml:space="preserve">Physical wholeness requirement; parallels priestly regulations (Lev. 21); typological function</w:t>
            </w:r>
          </w:p>
        </w:tc>
      </w:tr>
      <w:tr>
        <w:tc>
          <w:tcPr/>
          <w:p>
            <w:pPr>
              <w:pStyle w:val="Compact"/>
            </w:pPr>
            <w:r>
              <w:t xml:space="preserve">2</w:t>
            </w:r>
          </w:p>
        </w:tc>
        <w:tc>
          <w:tcPr/>
          <w:p>
            <w:pPr>
              <w:pStyle w:val="Compact"/>
            </w:pPr>
            <w:r>
              <w:t xml:space="preserve">Exclusion of the person of illegitimate birth, to the tenth generation</w:t>
            </w:r>
          </w:p>
        </w:tc>
        <w:tc>
          <w:tcPr/>
          <w:p>
            <w:pPr>
              <w:pStyle w:val="Compact"/>
            </w:pPr>
            <w:r>
              <w:rPr>
                <w:i/>
                <w:iCs/>
              </w:rPr>
              <w:t xml:space="preserve">mamzer</w:t>
            </w:r>
            <w:r>
              <w:t xml:space="preserve"> </w:t>
            </w:r>
            <w:r>
              <w:t xml:space="preserve">— disputed exact meaning; likely refers to child of a severely prohibited union</w:t>
            </w:r>
          </w:p>
        </w:tc>
      </w:tr>
      <w:tr>
        <w:tc>
          <w:tcPr/>
          <w:p>
            <w:pPr>
              <w:pStyle w:val="Compact"/>
            </w:pPr>
            <w:r>
              <w:t xml:space="preserve">3–4</w:t>
            </w:r>
          </w:p>
        </w:tc>
        <w:tc>
          <w:tcPr/>
          <w:p>
            <w:pPr>
              <w:pStyle w:val="Compact"/>
            </w:pPr>
            <w:r>
              <w:t xml:space="preserve">Permanent exclusion of Ammonites and Moabites, to the tenth generation; reason: failure to provide food and water during the Exodus, and hiring Balaam</w:t>
            </w:r>
          </w:p>
        </w:tc>
        <w:tc>
          <w:tcPr/>
          <w:p>
            <w:pPr>
              <w:pStyle w:val="Compact"/>
            </w:pPr>
            <w:r>
              <w:t xml:space="preserve">Historical-relational exclusion, not ethnic hatred; the offense is communal hostility</w:t>
            </w:r>
          </w:p>
        </w:tc>
      </w:tr>
      <w:tr>
        <w:tc>
          <w:tcPr/>
          <w:p>
            <w:pPr>
              <w:pStyle w:val="Compact"/>
            </w:pPr>
            <w:r>
              <w:t xml:space="preserve">5–6</w:t>
            </w:r>
          </w:p>
        </w:tc>
        <w:tc>
          <w:tcPr/>
          <w:p>
            <w:pPr>
              <w:pStyle w:val="Compact"/>
            </w:pPr>
            <w:r>
              <w:t xml:space="preserve">The LORD turned Balaam’s curse to blessing; Israel must not seek Ammon/Moab’s peace or prosperity forever</w:t>
            </w:r>
          </w:p>
        </w:tc>
        <w:tc>
          <w:tcPr/>
          <w:p>
            <w:pPr>
              <w:pStyle w:val="Compact"/>
            </w:pPr>
            <w:r>
              <w:t xml:space="preserve">Theological grounding of exclusion in God’s own action; permanent relational rupture</w:t>
            </w:r>
          </w:p>
        </w:tc>
      </w:tr>
      <w:tr>
        <w:tc>
          <w:tcPr/>
          <w:p>
            <w:pPr>
              <w:pStyle w:val="Compact"/>
            </w:pPr>
            <w:r>
              <w:t xml:space="preserve">7–8</w:t>
            </w:r>
          </w:p>
        </w:tc>
        <w:tc>
          <w:tcPr/>
          <w:p>
            <w:pPr>
              <w:pStyle w:val="Compact"/>
            </w:pPr>
            <w:r>
              <w:t xml:space="preserve">Edomites and Egyptians to be treated differently — not abhorred; third generation may enter the assembly</w:t>
            </w:r>
          </w:p>
        </w:tc>
        <w:tc>
          <w:tcPr/>
          <w:p>
            <w:pPr>
              <w:pStyle w:val="Compact"/>
            </w:pPr>
            <w:r>
              <w:t xml:space="preserve">Historical relationship matters: Edom is</w:t>
            </w:r>
            <w:r>
              <w:t xml:space="preserve"> </w:t>
            </w:r>
            <w:r>
              <w:t xml:space="preserve">“brother”</w:t>
            </w:r>
            <w:r>
              <w:t xml:space="preserve">; Egypt provided shelter; conditions for gradual inclusion</w:t>
            </w:r>
          </w:p>
        </w:tc>
      </w:tr>
      <w:tr>
        <w:tc>
          <w:tcPr/>
          <w:p>
            <w:pPr>
              <w:pStyle w:val="Compact"/>
            </w:pPr>
            <w:r>
              <w:t xml:space="preserve">9–11</w:t>
            </w:r>
          </w:p>
        </w:tc>
        <w:tc>
          <w:tcPr/>
          <w:p>
            <w:pPr>
              <w:pStyle w:val="Compact"/>
            </w:pPr>
            <w:r>
              <w:t xml:space="preserve">When the camp goes out against enemies, guard against every evil thing; nocturnal emission requires going outside the camp and returning at evening</w:t>
            </w:r>
          </w:p>
        </w:tc>
        <w:tc>
          <w:tcPr/>
          <w:p>
            <w:pPr>
              <w:pStyle w:val="Compact"/>
            </w:pPr>
            <w:r>
              <w:t xml:space="preserve">Holiness of the camp in holy war context; ritual impurity and its resolution</w:t>
            </w:r>
          </w:p>
        </w:tc>
      </w:tr>
      <w:tr>
        <w:tc>
          <w:tcPr/>
          <w:p>
            <w:pPr>
              <w:pStyle w:val="Compact"/>
            </w:pPr>
            <w:r>
              <w:t xml:space="preserve">12–13</w:t>
            </w:r>
          </w:p>
        </w:tc>
        <w:tc>
          <w:tcPr/>
          <w:p>
            <w:pPr>
              <w:pStyle w:val="Compact"/>
            </w:pPr>
            <w:r>
              <w:t xml:space="preserve">Latrine site outside the camp; carry a digging implement; cover excrement</w:t>
            </w:r>
          </w:p>
        </w:tc>
        <w:tc>
          <w:tcPr/>
          <w:p>
            <w:pPr>
              <w:pStyle w:val="Compact"/>
            </w:pPr>
            <w:r>
              <w:t xml:space="preserve">Mundane sanitation with explicit theological rationale; one of Scripture’s most surprising holy war commands</w:t>
            </w:r>
          </w:p>
        </w:tc>
      </w:tr>
      <w:tr>
        <w:tc>
          <w:tcPr/>
          <w:p>
            <w:pPr>
              <w:pStyle w:val="Compact"/>
            </w:pPr>
            <w:r>
              <w:t xml:space="preserve">14</w:t>
            </w:r>
          </w:p>
        </w:tc>
        <w:tc>
          <w:tcPr/>
          <w:p>
            <w:pPr>
              <w:pStyle w:val="Compact"/>
            </w:pPr>
            <w:r>
              <w:t xml:space="preserve">Rationale: the LORD your God walks in the midst of your camp; therefore the camp must be holy, lest He turn away</w:t>
            </w:r>
          </w:p>
        </w:tc>
        <w:tc>
          <w:tcPr/>
          <w:p>
            <w:pPr>
              <w:pStyle w:val="Compact"/>
            </w:pPr>
            <w:r>
              <w:t xml:space="preserve">Theological center of vv. 9–14; holiness of the camp derives from the presence of the LORD</w:t>
            </w:r>
          </w:p>
        </w:tc>
      </w:tr>
      <w:tr>
        <w:tc>
          <w:tcPr/>
          <w:p>
            <w:pPr>
              <w:pStyle w:val="Compact"/>
            </w:pPr>
            <w:r>
              <w:t xml:space="preserve">15–16</w:t>
            </w:r>
          </w:p>
        </w:tc>
        <w:tc>
          <w:tcPr/>
          <w:p>
            <w:pPr>
              <w:pStyle w:val="Compact"/>
            </w:pPr>
            <w:r>
              <w:t xml:space="preserve">Do not return an escaped slave to his master; let him live among you where he chooses; do not oppress him</w:t>
            </w:r>
          </w:p>
        </w:tc>
        <w:tc>
          <w:tcPr/>
          <w:p>
            <w:pPr>
              <w:pStyle w:val="Compact"/>
            </w:pPr>
            <w:r>
              <w:t xml:space="preserve">Counter-cultural in the ancient Near East; reflects the Exodus principle — God is a liberator</w:t>
            </w:r>
          </w:p>
        </w:tc>
      </w:tr>
      <w:tr>
        <w:tc>
          <w:tcPr/>
          <w:p>
            <w:pPr>
              <w:pStyle w:val="Compact"/>
            </w:pPr>
            <w:r>
              <w:t xml:space="preserve">17–18</w:t>
            </w:r>
          </w:p>
        </w:tc>
        <w:tc>
          <w:tcPr/>
          <w:p>
            <w:pPr>
              <w:pStyle w:val="Compact"/>
            </w:pPr>
            <w:r>
              <w:t xml:space="preserve">No Israelite woman or man shall be a cult prostitute; do not bring their earnings into the LORD’s house as a vow</w:t>
            </w:r>
          </w:p>
        </w:tc>
        <w:tc>
          <w:tcPr/>
          <w:p>
            <w:pPr>
              <w:pStyle w:val="Compact"/>
            </w:pPr>
            <w:r>
              <w:t xml:space="preserve">Both genders addressed;</w:t>
            </w:r>
            <w:r>
              <w:t xml:space="preserve"> </w:t>
            </w:r>
            <w:r>
              <w:t xml:space="preserve">“dog”</w:t>
            </w:r>
            <w:r>
              <w:t xml:space="preserve"> </w:t>
            </w:r>
            <w:r>
              <w:t xml:space="preserve">(v. 18) likely refers to the male cult prostitute; comprehensive rejection of Canaanite fertility religion</w:t>
            </w:r>
          </w:p>
        </w:tc>
      </w:tr>
      <w:tr>
        <w:tc>
          <w:tcPr/>
          <w:p>
            <w:pPr>
              <w:pStyle w:val="Compact"/>
            </w:pPr>
            <w:r>
              <w:t xml:space="preserve">19–20</w:t>
            </w:r>
          </w:p>
        </w:tc>
        <w:tc>
          <w:tcPr/>
          <w:p>
            <w:pPr>
              <w:pStyle w:val="Compact"/>
            </w:pPr>
            <w:r>
              <w:t xml:space="preserve">Do not charge interest to a brother Israelite; may charge interest to a foreigner; purpose: the LORD’s blessing on all your work</w:t>
            </w:r>
          </w:p>
        </w:tc>
        <w:tc>
          <w:tcPr/>
          <w:p>
            <w:pPr>
              <w:pStyle w:val="Compact"/>
            </w:pPr>
            <w:r>
              <w:t xml:space="preserve">Covenant solidarity vs. commercial relationship; the brotherhood principle governs economic ethics</w:t>
            </w:r>
          </w:p>
        </w:tc>
      </w:tr>
      <w:tr>
        <w:tc>
          <w:tcPr/>
          <w:p>
            <w:pPr>
              <w:pStyle w:val="Compact"/>
            </w:pPr>
            <w:r>
              <w:t xml:space="preserve">21–23</w:t>
            </w:r>
          </w:p>
        </w:tc>
        <w:tc>
          <w:tcPr/>
          <w:p>
            <w:pPr>
              <w:pStyle w:val="Compact"/>
            </w:pPr>
            <w:r>
              <w:t xml:space="preserve">If you make a vow to the LORD, fulfill it promptly; no sin in refraining from vowing; but a vow made must be kept</w:t>
            </w:r>
          </w:p>
        </w:tc>
        <w:tc>
          <w:tcPr/>
          <w:p>
            <w:pPr>
              <w:pStyle w:val="Compact"/>
            </w:pPr>
            <w:r>
              <w:t xml:space="preserve">Seriousness of verbal commitment before God; voluntary vows carry binding moral weight</w:t>
            </w:r>
          </w:p>
        </w:tc>
      </w:tr>
      <w:tr>
        <w:tc>
          <w:tcPr/>
          <w:p>
            <w:pPr>
              <w:pStyle w:val="Compact"/>
            </w:pPr>
            <w:r>
              <w:t xml:space="preserve">24–25</w:t>
            </w:r>
          </w:p>
        </w:tc>
        <w:tc>
          <w:tcPr/>
          <w:p>
            <w:pPr>
              <w:pStyle w:val="Compact"/>
            </w:pPr>
            <w:r>
              <w:t xml:space="preserve">May eat grapes or grain from a neighbor’s field to satisfy hunger, but may not carry away in a vessel or use a sickle</w:t>
            </w:r>
          </w:p>
        </w:tc>
        <w:tc>
          <w:tcPr/>
          <w:p>
            <w:pPr>
              <w:pStyle w:val="Compact"/>
            </w:pPr>
            <w:r>
              <w:t xml:space="preserve">Gleaning right for the hungry; limits prevent commercial exploitation; balances neighbor-love with property rights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1–8</w:t>
            </w:r>
          </w:p>
        </w:tc>
        <w:tc>
          <w:tcPr/>
          <w:p>
            <w:pPr>
              <w:pStyle w:val="Compact"/>
            </w:pPr>
            <w:r>
              <w:t xml:space="preserve">The Boundaries of the Assembly: Who Belongs to the LORD’s Congregation</w:t>
            </w:r>
          </w:p>
        </w:tc>
      </w:tr>
      <w:tr>
        <w:tc>
          <w:tcPr/>
          <w:p>
            <w:pPr>
              <w:pStyle w:val="Compact"/>
            </w:pPr>
            <w:r>
              <w:t xml:space="preserve">2</w:t>
            </w:r>
          </w:p>
        </w:tc>
        <w:tc>
          <w:tcPr/>
          <w:p>
            <w:pPr>
              <w:pStyle w:val="Compact"/>
            </w:pPr>
            <w:r>
              <w:t xml:space="preserve">9–14</w:t>
            </w:r>
          </w:p>
        </w:tc>
        <w:tc>
          <w:tcPr/>
          <w:p>
            <w:pPr>
              <w:pStyle w:val="Compact"/>
            </w:pPr>
            <w:r>
              <w:t xml:space="preserve">The Holiness of the Camp: The LORD Walks Among You</w:t>
            </w:r>
          </w:p>
        </w:tc>
      </w:tr>
      <w:tr>
        <w:tc>
          <w:tcPr/>
          <w:p>
            <w:pPr>
              <w:pStyle w:val="Compact"/>
            </w:pPr>
            <w:r>
              <w:t xml:space="preserve">3</w:t>
            </w:r>
          </w:p>
        </w:tc>
        <w:tc>
          <w:tcPr/>
          <w:p>
            <w:pPr>
              <w:pStyle w:val="Compact"/>
            </w:pPr>
            <w:r>
              <w:t xml:space="preserve">15–16</w:t>
            </w:r>
          </w:p>
        </w:tc>
        <w:tc>
          <w:tcPr/>
          <w:p>
            <w:pPr>
              <w:pStyle w:val="Compact"/>
            </w:pPr>
            <w:r>
              <w:t xml:space="preserve">The Escaped Slave: Liberating the Vulnerable as God Liberated Israel</w:t>
            </w:r>
          </w:p>
        </w:tc>
      </w:tr>
      <w:tr>
        <w:tc>
          <w:tcPr/>
          <w:p>
            <w:pPr>
              <w:pStyle w:val="Compact"/>
            </w:pPr>
            <w:r>
              <w:t xml:space="preserve">4</w:t>
            </w:r>
          </w:p>
        </w:tc>
        <w:tc>
          <w:tcPr/>
          <w:p>
            <w:pPr>
              <w:pStyle w:val="Compact"/>
            </w:pPr>
            <w:r>
              <w:t xml:space="preserve">17–18</w:t>
            </w:r>
          </w:p>
        </w:tc>
        <w:tc>
          <w:tcPr/>
          <w:p>
            <w:pPr>
              <w:pStyle w:val="Compact"/>
            </w:pPr>
            <w:r>
              <w:t xml:space="preserve">No Cult Prostitution: The Absolute Boundary Against Canaanite Religion</w:t>
            </w:r>
          </w:p>
        </w:tc>
      </w:tr>
      <w:tr>
        <w:tc>
          <w:tcPr/>
          <w:p>
            <w:pPr>
              <w:pStyle w:val="Compact"/>
            </w:pPr>
            <w:r>
              <w:t xml:space="preserve">5</w:t>
            </w:r>
          </w:p>
        </w:tc>
        <w:tc>
          <w:tcPr/>
          <w:p>
            <w:pPr>
              <w:pStyle w:val="Compact"/>
            </w:pPr>
            <w:r>
              <w:t xml:space="preserve">19–20</w:t>
            </w:r>
          </w:p>
        </w:tc>
        <w:tc>
          <w:tcPr/>
          <w:p>
            <w:pPr>
              <w:pStyle w:val="Compact"/>
            </w:pPr>
            <w:r>
              <w:t xml:space="preserve">Brotherhood Economics: No Exploitation Within the Covenant Community</w:t>
            </w:r>
          </w:p>
        </w:tc>
      </w:tr>
      <w:tr>
        <w:tc>
          <w:tcPr/>
          <w:p>
            <w:pPr>
              <w:pStyle w:val="Compact"/>
            </w:pPr>
            <w:r>
              <w:t xml:space="preserve">6</w:t>
            </w:r>
          </w:p>
        </w:tc>
        <w:tc>
          <w:tcPr/>
          <w:p>
            <w:pPr>
              <w:pStyle w:val="Compact"/>
            </w:pPr>
            <w:r>
              <w:t xml:space="preserve">21–23</w:t>
            </w:r>
          </w:p>
        </w:tc>
        <w:tc>
          <w:tcPr/>
          <w:p>
            <w:pPr>
              <w:pStyle w:val="Compact"/>
            </w:pPr>
            <w:r>
              <w:t xml:space="preserve">Vows and Integrity: Your Word Before God Is Binding</w:t>
            </w:r>
          </w:p>
        </w:tc>
      </w:tr>
      <w:tr>
        <w:tc>
          <w:tcPr/>
          <w:p>
            <w:pPr>
              <w:pStyle w:val="Compact"/>
            </w:pPr>
            <w:r>
              <w:t xml:space="preserve">7</w:t>
            </w:r>
          </w:p>
        </w:tc>
        <w:tc>
          <w:tcPr/>
          <w:p>
            <w:pPr>
              <w:pStyle w:val="Compact"/>
            </w:pPr>
            <w:r>
              <w:t xml:space="preserve">24–25</w:t>
            </w:r>
          </w:p>
        </w:tc>
        <w:tc>
          <w:tcPr/>
          <w:p>
            <w:pPr>
              <w:pStyle w:val="Compact"/>
            </w:pPr>
            <w:r>
              <w:t xml:space="preserve">Gleaning Rights: Satisfying Hunger Without Enabling Theft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holy LORD dwelling among His people shapes every dimension of their common life.</w:t>
      </w:r>
    </w:p>
    <w:p>
      <w:pPr>
        <w:pStyle w:val="BodyText"/>
      </w:pPr>
      <w:r>
        <w:rPr>
          <w:b/>
          <w:bCs/>
        </w:rPr>
        <w:t xml:space="preserve">Primary Claim:</w:t>
      </w:r>
      <w:r>
        <w:t xml:space="preserve"> </w:t>
      </w:r>
      <w:r>
        <w:t xml:space="preserve">Because the LORD is present in the midst of His people, the entire fabric of communal life — who belongs, how the camp is ordered, how the vulnerable are treated, how trust is kept — must be conformed to His holiness and His character; covenant membership is never merely formal but always moral and communal to its core.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community that confesses God’s presence must order its common life around that presence — not just its worship services.</w:t>
      </w:r>
      <w:r>
        <w:t xml:space="preserve"> </w:t>
      </w:r>
      <w:r>
        <w:rPr>
          <w:i/>
          <w:iCs/>
        </w:rPr>
        <w:t xml:space="preserve">(Mind/Belief)</w:t>
      </w:r>
    </w:p>
    <w:p>
      <w:pPr>
        <w:pStyle w:val="BodyText"/>
      </w:pPr>
      <w:r>
        <w:t xml:space="preserve">The camp purity laws in verses 9–14 are startling precisely because they reach into the most ordinary, embarrassing, bodily dimension of human life and place it under theological pressure. The point is not latrine placement — the point is that there is no zone of common life exempt from the question:</w:t>
      </w:r>
      <w:r>
        <w:t xml:space="preserve"> </w:t>
      </w:r>
      <w:r>
        <w:rPr>
          <w:i/>
          <w:iCs/>
        </w:rPr>
        <w:t xml:space="preserve">does this reflect that the LORD is among us?</w:t>
      </w:r>
      <w:r>
        <w:t xml:space="preserve"> </w:t>
      </w:r>
      <w:r>
        <w:t xml:space="preserve">For the church, this means the question</w:t>
      </w:r>
      <w:r>
        <w:t xml:space="preserve"> </w:t>
      </w:r>
      <w:r>
        <w:t xml:space="preserve">“does this honor God?”</w:t>
      </w:r>
      <w:r>
        <w:t xml:space="preserve"> </w:t>
      </w:r>
      <w:r>
        <w:t xml:space="preserve">is not reserved for the sanctuary. It applies to how we handle money (vv. 19–20), how we speak (vv. 21–23), how we treat the economically vulnerable in our community (vv. 24–25), how we protect those fleeing exploitation (vv. 15–16). A congregation that worships with intensity on Sunday and treats neighbors extractively on Monday has failed to grasp that the LORD walks in the midst of the camp all week.</w:t>
      </w:r>
    </w:p>
    <w:p>
      <w:pPr>
        <w:pStyle w:val="BodyText"/>
      </w:pPr>
      <w:r>
        <w:rPr>
          <w:b/>
          <w:bCs/>
        </w:rPr>
        <w:t xml:space="preserve">2. Trust — keeping your word before God — is not a private moral virtue but a mark of the covenant community’s integrity.</w:t>
      </w:r>
      <w:r>
        <w:t xml:space="preserve"> </w:t>
      </w:r>
      <w:r>
        <w:rPr>
          <w:i/>
          <w:iCs/>
        </w:rPr>
        <w:t xml:space="preserve">(Will/Behavior)</w:t>
      </w:r>
    </w:p>
    <w:p>
      <w:pPr>
        <w:pStyle w:val="BodyText"/>
      </w:pPr>
      <w:r>
        <w:t xml:space="preserve">Verses 21–23 press with remarkable directness: if you make a vow to the LORD your God, do not delay fulfilling it. The surrounding context makes clear that this is not a footnote on religious practice — it sits in a chapter preoccupied with what the covenant community looks like from the inside out. The specific, concrete application is this: examine what you have promised — to God, to your spouse, to your church, to a neighbor — and where you have delayed or quietly let it lapse, fulfill it. The passage explicitly notes that refraining from vowing is better than vowing and not paying (v. 22). The invitation is not to make fewer commitments but to make commitments your actual life can carry — and then to carry them.</w:t>
      </w:r>
    </w:p>
    <w:p>
      <w:pPr>
        <w:pStyle w:val="BodyText"/>
      </w:pPr>
      <w:r>
        <w:rPr>
          <w:b/>
          <w:bCs/>
        </w:rPr>
        <w:t xml:space="preserve">3. The vulnerable person fleeing exploitation has a claim on the covenant community, because the covenant community was itself once the vulnerable people God rescued.</w:t>
      </w:r>
      <w:r>
        <w:t xml:space="preserve"> </w:t>
      </w:r>
      <w:r>
        <w:rPr>
          <w:i/>
          <w:iCs/>
        </w:rPr>
        <w:t xml:space="preserve">(Affections/Worship)</w:t>
      </w:r>
    </w:p>
    <w:p>
      <w:pPr>
        <w:pStyle w:val="BodyText"/>
      </w:pPr>
      <w:r>
        <w:t xml:space="preserve">Verses 15–16 — the escaped slave law — are among the most countercultural regulations in the ancient Near East. Every neighboring legal code required the return of escaped slaves. Israel’s law reversed this: give the escaped slave shelter, let him live where he chooses, do not oppress him. The theological logic is Exodus logic: you were slaves in Egypt and the LORD rescued you (cf. Deuteronomy 15:15). The affectional application is this: cultivate gratitude for your own rescue deep enough that it produces a visceral instinct toward the person fleeing harm. The congregation that has genuinely felt its own redemption will not need to be argued into concern for the vulnerable — it will feel the pull naturally. Where that pull is absent, the question is whether the redemption has been felt at all.</w:t>
      </w:r>
    </w:p>
    <w:p>
      <w:pPr>
        <w:pStyle w:val="BodyText"/>
      </w:pPr>
      <w:r>
        <w:rPr>
          <w:b/>
          <w:bCs/>
        </w:rPr>
        <w:t xml:space="preserve">4. Covenant membership is not merely formal — belonging to the LORD’s assembly is a moral and relational reality, not just a status.</w:t>
      </w:r>
      <w:r>
        <w:t xml:space="preserve"> </w:t>
      </w:r>
      <w:r>
        <w:rPr>
          <w:i/>
          <w:iCs/>
        </w:rPr>
        <w:t xml:space="preserve">(Mind/Belief)</w:t>
      </w:r>
    </w:p>
    <w:p>
      <w:pPr>
        <w:pStyle w:val="BodyText"/>
      </w:pPr>
      <w:r>
        <w:t xml:space="preserve">The assembly regulations in verses 1–8 can seem alien to modern readers, but they make a claim that is not alien at all: belonging to the people of God is substantive, not merely nominal. In the new covenant, the barriers of physical condition and ethnicity have been removed — Isaiah 56 and Acts 8 make this explicit — but the underlying principle is not removed: the assembly of the LORD is a community of people actually conformed to the LORD’s ways, not a population who have registered a membership. The application is to examine whether your relationship to the covenant community is substantive or merely formal — whether you are</w:t>
      </w:r>
      <w:r>
        <w:t xml:space="preserve"> </w:t>
      </w:r>
      <w:r>
        <w:rPr>
          <w:i/>
          <w:iCs/>
        </w:rPr>
        <w:t xml:space="preserve">in</w:t>
      </w:r>
      <w:r>
        <w:t xml:space="preserve"> </w:t>
      </w:r>
      <w:r>
        <w:t xml:space="preserve">the assembly in any meaningful sense, shaped by its life, accountable to its members, contributing to its work, or merely listed on a roll.</w:t>
      </w:r>
    </w:p>
    <w:p>
      <w:pPr>
        <w:pStyle w:val="BodyText"/>
      </w:pPr>
      <w:r>
        <w:rPr>
          <w:b/>
          <w:bCs/>
        </w:rPr>
        <w:t xml:space="preserve">5. Economic life within the covenant community must be governed by brotherhood, not extraction — the prohibition of interest among Israelites (vv. 19–20) and the gleaning right (vv. 24–25) together define a community where hunger and financial vulnerability are not opportunities for profit.</w:t>
      </w:r>
      <w:r>
        <w:t xml:space="preserve"> </w:t>
      </w:r>
      <w:r>
        <w:rPr>
          <w:i/>
          <w:iCs/>
        </w:rPr>
        <w:t xml:space="preserve">(Will/Behavior)</w:t>
      </w:r>
    </w:p>
    <w:p>
      <w:pPr>
        <w:pStyle w:val="BodyText"/>
      </w:pPr>
      <w:r>
        <w:t xml:space="preserve">The pairing of the interest prohibition and the gleaning law is not accidental. Together they draw the same boundary: within the covenant community, the hungry and the financially struggling are not to be treated as revenue opportunities. The interest prohibition (vv. 19–20) recognizes that a brother Israelite borrowing money is typically in distress — exploiting that distress with interest compounds the harm and violates the covenant solidarity that defines Israel. The gleaning law (vv. 24–25) preserves the right of the hungry to eat from a neighbor’s abundance without shame or charge. The concrete application for Christians: evaluate whether your financial relationships within the church and your community embody generosity or extraction — whether you extend credit, time, and resources in ways that reflect covenant solidarity rather than market logic.</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23 teaches that the holiness of God is not an attribute that operates only in the sanctuary — it radiates into every dimension of the community that bears His name. The LORD’s presence (v. 14:</w:t>
      </w:r>
      <w:r>
        <w:t xml:space="preserve"> </w:t>
      </w:r>
      <w:r>
        <w:t xml:space="preserve">“the LORD your God walks in the midst of your camp”</w:t>
      </w:r>
      <w:r>
        <w:t xml:space="preserve">) is the theological engine driving regulations that range from camp sanitation to lending practices to vow-keeping. This reveals something crucial about God’s character: He is not indifferent to the texture of His people’s communal life. He cares how Israel treats an escaped slave (vv. 15–16), whether a hungry person can eat (vv. 24–25), whether a person’s word can be trusted (vv. 21–23). These are not secondary concerns — they are expressions of His own character: the God who liberates the oppressed, who feeds the hungry, who keeps His own covenant promises perfectly. The chapter also teaches that God’s holiness is not generic purity but covenantal and relational purity — a holiness defined by who He is and how He acts within covenant.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displays the Reformed understanding of law as structurally tripartite (moral, ceremonial, civil) and purposefully unified in its theological grounding. The ceremonial and civil elements of Deuteronomy 23 (assembly exclusions, camp purity rituals, theocratic economic regulations) are no longer binding in their specific form — the New Covenant has absorbed and fulfilled their typological function, as Isaiah 56 and Acts 8 demonstrate. But the moral and theological principles they embody — God’s presence requiring conformity of communal life to His character — are not abolished but deepened in the New Covenant. The Westminster Confession’s principle that the</w:t>
      </w:r>
      <w:r>
        <w:t xml:space="preserve"> </w:t>
      </w:r>
      <w:r>
        <w:t xml:space="preserve">“general equity”</w:t>
      </w:r>
      <w:r>
        <w:t xml:space="preserve"> </w:t>
      </w:r>
      <w:r>
        <w:t xml:space="preserve">of Israel’s civil laws applies across time finds strong footing here: the principle that the vulnerable are not to be exploited, that trust must be kept, that covenant solidarity governs economic relations — these are not Israel-specific but expressions of God’s unchanging character. Deuteronomy 23 also demonstrates the Reformed insistence that grace is not lawless: the community that has been redeemed by God’s sovereign grace is precisely the community called to a radically transformed common life — not as a means of earning God’s favor, but as the shape of a life lived before a holy God who actually dwells among them.</w:t>
      </w:r>
    </w:p>
    <w:p>
      <w:r>
        <w:pict>
          <v:rect style="width:0;height:1.5pt" o:hralign="center" o:hrstd="t" o:hr="t"/>
        </w:pict>
      </w:r>
    </w:p>
    <w:p>
      <w:pPr>
        <w:pStyle w:val="FirstParagraph"/>
      </w:pPr>
      <w:r>
        <w:rPr>
          <w:b/>
          <w:bCs/>
        </w:rPr>
        <w:t xml:space="preserve">Main Takeaway:</w:t>
      </w:r>
      <w:r>
        <w:t xml:space="preserve"> </w:t>
      </w:r>
      <w:r>
        <w:t xml:space="preserve">The LORD is not a God who inhabits your worship and stays out of your common life. He walks in the midst of the camp — which means He is present in how your community treats the person who just escaped an abusive situation, in whether your word can be trusted, in whether the hungry person in your orbit can eat without shame, in whether your economic relationships within the church look like brotherhood or extraction. Deuteronomy 23 presses the same question from every angle: does your communal life look like the God who lives among you? If not, the problem is not a regulatory failure — it is a presence problem. You have forgotten He is there.</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the chapter as a miscellaneous legal archive rather than a unified theological statement.</w:t>
      </w:r>
      <w:r>
        <w:t xml:space="preserve"> </w:t>
      </w:r>
      <w:r>
        <w:t xml:space="preserve">The most common mishandling of Deuteronomy 23 is to read it as a grab-bag of ancient regulations with no coherent center. The preacher who works through the text unit by unit without identifying the theological engine — the LORD walks in the midst of your camp — will produce a series of unconnected moral lessons that feel arbitrary and alien. The chapter has a center (v. 14) and everything orbits it. Begin there, not with the regulations themselves.</w:t>
      </w:r>
    </w:p>
    <w:p>
      <w:pPr>
        <w:numPr>
          <w:ilvl w:val="0"/>
          <w:numId w:val="1002"/>
        </w:numPr>
      </w:pPr>
      <w:r>
        <w:rPr>
          <w:b/>
          <w:bCs/>
        </w:rPr>
        <w:t xml:space="preserve">Handling the assembly exclusions (vv. 1–8) without engaging Isaiah 56 and Acts 8.</w:t>
      </w:r>
      <w:r>
        <w:t xml:space="preserve"> </w:t>
      </w:r>
      <w:r>
        <w:t xml:space="preserve">To preach or teach verses 1–8 without resolving the canonical trajectory — the eschatological inclusion of eunuchs and foreigners, the Ethiopian eunuch’s baptism — leaves the congregation with either a troubling picture of a God who permanently excludes people on the basis of physical condition, or an unresolved tension between testaments. The resolution is not to skip the exclusions but to follow them forward to their fulfillment in Christ, who gathers the community from which no one is barred on the basis of what has been done to their body or where they were born.</w:t>
      </w:r>
    </w:p>
    <w:p>
      <w:pPr>
        <w:numPr>
          <w:ilvl w:val="0"/>
          <w:numId w:val="1002"/>
        </w:numPr>
      </w:pPr>
      <w:r>
        <w:rPr>
          <w:b/>
          <w:bCs/>
        </w:rPr>
        <w:t xml:space="preserve">Moralizing the gleaning and interest laws without grounding them in Exodus-shaped gratitude.</w:t>
      </w:r>
      <w:r>
        <w:t xml:space="preserve"> </w:t>
      </w:r>
      <w:r>
        <w:t xml:space="preserve">The regulations in verses 19–20 and 24–25 are not primarily about being generous — they are about being the community that remembers it was once hungry, once enslaved, once without resources, and was met by a God who provided and rescued. An application that says</w:t>
      </w:r>
      <w:r>
        <w:t xml:space="preserve"> </w:t>
      </w:r>
      <w:r>
        <w:t xml:space="preserve">“be generous to the poor”</w:t>
      </w:r>
      <w:r>
        <w:t xml:space="preserve"> </w:t>
      </w:r>
      <w:r>
        <w:t xml:space="preserve">has missed the motivational grounding. The application that says</w:t>
      </w:r>
      <w:r>
        <w:t xml:space="preserve"> </w:t>
      </w:r>
      <w:r>
        <w:t xml:space="preserve">“you were the poor — the LORD fed you — now your communal life reflects that memory”</w:t>
      </w:r>
      <w:r>
        <w:t xml:space="preserve"> </w:t>
      </w:r>
      <w:r>
        <w:t xml:space="preserve">is closer to the text’s own logic.</w:t>
      </w:r>
    </w:p>
    <w:p>
      <w:pPr>
        <w:numPr>
          <w:ilvl w:val="0"/>
          <w:numId w:val="1002"/>
        </w:numPr>
      </w:pPr>
      <w:r>
        <w:rPr>
          <w:b/>
          <w:bCs/>
        </w:rPr>
        <w:t xml:space="preserve">Applying the escaped slave law (vv. 15–16) purely as a social justice principle without its theological anchor.</w:t>
      </w:r>
      <w:r>
        <w:t xml:space="preserve"> </w:t>
      </w:r>
      <w:r>
        <w:t xml:space="preserve">Verses 15–16 do have urgent contemporary relevance for thinking about refugees, trafficking survivors, and those fleeing exploitation. But the text grounds the obligation not in humanitarian instinct but in Israel’s own Exodus story. An application that detaches the law from its theological ground produces compassion as a cultural value rather than compassion as a covenantal response to grace. The congregation needs to hear: you protect the escaped slave because the LORD protected you when you fled Egypt, and you did nothing to deserve it.</w:t>
      </w:r>
    </w:p>
    <w:p>
      <w:pPr>
        <w:numPr>
          <w:ilvl w:val="0"/>
          <w:numId w:val="1002"/>
        </w:numPr>
      </w:pPr>
      <w:r>
        <w:rPr>
          <w:b/>
          <w:bCs/>
        </w:rPr>
        <w:t xml:space="preserve">Using verse 14’s</w:t>
      </w:r>
      <w:r>
        <w:rPr>
          <w:b/>
          <w:bCs/>
        </w:rPr>
        <w:t xml:space="preserve"> </w:t>
      </w:r>
      <w:r>
        <w:rPr>
          <w:b/>
          <w:bCs/>
        </w:rPr>
        <w:t xml:space="preserve">“anything indecent”</w:t>
      </w:r>
      <w:r>
        <w:rPr>
          <w:b/>
          <w:bCs/>
        </w:rPr>
        <w:t xml:space="preserve"> </w:t>
      </w:r>
      <w:r>
        <w:rPr>
          <w:b/>
          <w:bCs/>
        </w:rPr>
        <w:t xml:space="preserve">as a springboard for sanctimony about church culture rather than a probe of genuine communal holiness.</w:t>
      </w:r>
      <w:r>
        <w:t xml:space="preserve"> </w:t>
      </w:r>
      <w:r>
        <w:t xml:space="preserve">“The camp must be holy”</w:t>
      </w:r>
      <w:r>
        <w:t xml:space="preserve"> </w:t>
      </w:r>
      <w:r>
        <w:t xml:space="preserve">(v. 14) is a genuine and searching principle, but preachers sometimes deploy it to push aesthetic or cultural preferences (church language, dress, tone) rather than the substantive communal holiness the chapter actually commends — economic integrity, protection of the vulnerable, kept vows. If</w:t>
      </w:r>
      <w:r>
        <w:t xml:space="preserve"> </w:t>
      </w:r>
      <w:r>
        <w:t xml:space="preserve">“anything indecent”</w:t>
      </w:r>
      <w:r>
        <w:t xml:space="preserve"> </w:t>
      </w:r>
      <w:r>
        <w:t xml:space="preserve">in the camp turns out to mean only surface-level propriety while exploitation and broken trust go unaddressed, the text has been inverted.</w:t>
      </w:r>
    </w:p>
    <w:p>
      <w:pPr>
        <w:numPr>
          <w:ilvl w:val="0"/>
          <w:numId w:val="1002"/>
        </w:numPr>
      </w:pPr>
      <w:r>
        <w:rPr>
          <w:b/>
          <w:bCs/>
        </w:rPr>
        <w:t xml:space="preserve">Skipping the vow section (vv. 21–23) as too minor to warrant attention.</w:t>
      </w:r>
      <w:r>
        <w:t xml:space="preserve"> </w:t>
      </w:r>
      <w:r>
        <w:t xml:space="preserve">The vow regulations are brief but they carry significant weight precisely because they sit in this context. The community that claims to live before a holy God must be a community whose word can be trusted. A preacher who rushes past verses 21–23 misses one of the chapter’s most direct applications — and one of the most practically felt by congregations who have been burned by promises made in emotional moments and never kept.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2026-07-14T21:02:08Z</dcterms:created>
  <dcterms:modified xsi:type="dcterms:W3CDTF">2026-07-14T21:02:08Z</dcterms:modified>
</cp:coreProperties>
</file>

<file path=docProps/custom.xml><?xml version="1.0" encoding="utf-8"?>
<Properties xmlns="http://schemas.openxmlformats.org/officeDocument/2006/custom-properties" xmlns:vt="http://schemas.openxmlformats.org/officeDocument/2006/docPropsVTypes"/>
</file>